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90C" w:rsidRDefault="008E36C2">
      <w:pPr>
        <w:pStyle w:val="ConsPlusNormal"/>
        <w:jc w:val="right"/>
        <w:outlineLvl w:val="0"/>
      </w:pPr>
      <w:r>
        <w:t>Приложение</w:t>
      </w:r>
    </w:p>
    <w:p w:rsidR="001E690C" w:rsidRDefault="008E36C2">
      <w:pPr>
        <w:pStyle w:val="ConsPlusNormal"/>
        <w:jc w:val="right"/>
      </w:pPr>
      <w:r>
        <w:t>к Закону Мурманской области</w:t>
      </w:r>
    </w:p>
    <w:p w:rsidR="001E690C" w:rsidRDefault="008E36C2">
      <w:pPr>
        <w:pStyle w:val="ConsPlusNormal"/>
        <w:jc w:val="right"/>
      </w:pPr>
      <w:r>
        <w:t>от 13 декабря 2007 г. N 927-01-ЗМО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Title"/>
        <w:jc w:val="center"/>
      </w:pPr>
      <w:r>
        <w:t>МЕТОДИКА</w:t>
      </w:r>
    </w:p>
    <w:p w:rsidR="001E690C" w:rsidRDefault="008E36C2">
      <w:pPr>
        <w:pStyle w:val="ConsPlusTitle"/>
        <w:jc w:val="center"/>
      </w:pPr>
      <w:r>
        <w:t>РАСПРЕДЕЛЕНИЯ ОБЪЕМА СУБВЕНЦИИ МЕСТНЫМ БЮДЖЕТАМ</w:t>
      </w:r>
    </w:p>
    <w:p w:rsidR="001E690C" w:rsidRDefault="008E36C2">
      <w:pPr>
        <w:pStyle w:val="ConsPlusTitle"/>
        <w:jc w:val="center"/>
      </w:pPr>
      <w:r>
        <w:t xml:space="preserve">НА ОСУЩЕСТВЛЕНИЕ ОРГАНАМИ МЕСТНОГО САМОУПРАВЛЕНИЯ </w:t>
      </w:r>
      <w:proofErr w:type="gramStart"/>
      <w:r>
        <w:t>ОТДЕЛЬНЫХ</w:t>
      </w:r>
      <w:proofErr w:type="gramEnd"/>
    </w:p>
    <w:p w:rsidR="001E690C" w:rsidRDefault="008E36C2">
      <w:pPr>
        <w:pStyle w:val="ConsPlusTitle"/>
        <w:jc w:val="center"/>
      </w:pPr>
      <w:r>
        <w:t>ГОСУДАРСТВЕННЫХ ПОЛНОМОЧИЙ ПО ОПЕКЕ И ПОПЕЧИТЕЛЬСТВУ</w:t>
      </w:r>
    </w:p>
    <w:p w:rsidR="001E690C" w:rsidRDefault="008E36C2">
      <w:pPr>
        <w:pStyle w:val="ConsPlusTitle"/>
        <w:jc w:val="center"/>
      </w:pPr>
      <w:r>
        <w:t>В ОТНОШЕНИИ НЕСОВЕРШЕННОЛЕТНИХ</w:t>
      </w:r>
    </w:p>
    <w:p w:rsidR="001E690C" w:rsidRDefault="001E690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1E69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90C" w:rsidRDefault="001E690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90C" w:rsidRDefault="001E690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690C" w:rsidRDefault="008E36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690C" w:rsidRDefault="008E36C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Закона Мурманской области</w:t>
            </w:r>
            <w:proofErr w:type="gramEnd"/>
          </w:p>
          <w:p w:rsidR="001E690C" w:rsidRDefault="008E36C2">
            <w:pPr>
              <w:pStyle w:val="ConsPlusNormal"/>
              <w:jc w:val="center"/>
            </w:pPr>
            <w:r>
              <w:rPr>
                <w:color w:val="392C69"/>
              </w:rPr>
              <w:t>от 11.12.2024 N 3062-01-ЗМО)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90C" w:rsidRDefault="001E690C">
            <w:pPr>
              <w:pStyle w:val="ConsPlusNormal"/>
            </w:pPr>
          </w:p>
        </w:tc>
      </w:tr>
    </w:tbl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r>
        <w:t>1. Определение общего объема субвенции местным бюджетам на осуществление органами местного самоуправления отдельных государственных полномочий по опеке и попечительству в отношении несовершеннолетних (далее - общий объем субвенции) осуществляется в следующ</w:t>
      </w:r>
      <w:r>
        <w:t>ем порядке: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 xml:space="preserve">1) общий объем субвенции определяется путем суммирования объемов субвенций, исчисленных для каждого муниципального образования в соответствии с </w:t>
      </w:r>
      <w:hyperlink w:anchor="P25" w:tooltip="2. Объем субвенции местному бюджету на осуществление органами местного самоуправления отдельных государственных полномочий по опеке и попечительству в отношении несовершеннолетних (Si) рассчитывается по следующей формуле:">
        <w:r>
          <w:rPr>
            <w:color w:val="0000FF"/>
          </w:rPr>
          <w:t>пунктом 2</w:t>
        </w:r>
      </w:hyperlink>
      <w:r>
        <w:t xml:space="preserve"> настоящей Методики;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>2) показателями (критериями) распределения между муниципальными образован</w:t>
      </w:r>
      <w:r>
        <w:t>иями общего объема субвенции являются: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>численность несовершеннолетнего населения до 17 лет включительно на начало предыдущего года;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>численность детей-сирот и детей, оставшихся без попечения родителей, на начало предыдущего года;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>норма нагрузки на одного сп</w:t>
      </w:r>
      <w:r>
        <w:t>ециалиста, занимающегося вопросами опеки и попечительства в отношении несовершеннолетних;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>3) общий объем субвенции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 определяется по следующей формуле: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r>
        <w:rPr>
          <w:noProof/>
          <w:position w:val="-28"/>
        </w:rPr>
        <w:drawing>
          <wp:inline distT="0" distB="0" distL="0" distR="0">
            <wp:extent cx="1005840" cy="51435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r>
        <w:t>где n - количество муниципальных образований;</w:t>
      </w:r>
    </w:p>
    <w:p w:rsidR="001E690C" w:rsidRDefault="008E36C2">
      <w:pPr>
        <w:pStyle w:val="ConsPlusNormal"/>
        <w:spacing w:before="240"/>
        <w:ind w:firstLine="540"/>
        <w:jc w:val="both"/>
      </w:pPr>
      <w:proofErr w:type="spellStart"/>
      <w:r>
        <w:t>Si</w:t>
      </w:r>
      <w:proofErr w:type="spellEnd"/>
      <w:r>
        <w:t xml:space="preserve"> - объем субвенции местному бюджету на осуществление органами местного самоуправления отдельных государственных полномочий по опеке и попечительству в отношении несовершеннолетних, рассчитываемый для каждого муниципального образования.</w:t>
      </w:r>
    </w:p>
    <w:p w:rsidR="001E690C" w:rsidRDefault="008E36C2">
      <w:pPr>
        <w:pStyle w:val="ConsPlusNormal"/>
        <w:spacing w:before="240"/>
        <w:ind w:firstLine="540"/>
        <w:jc w:val="both"/>
      </w:pPr>
      <w:bookmarkStart w:id="0" w:name="P25"/>
      <w:bookmarkEnd w:id="0"/>
      <w:r>
        <w:t>2. Объем субвенции</w:t>
      </w:r>
      <w:r>
        <w:t xml:space="preserve"> местному бюджету на осуществление органами местного самоуправления отдельных государственных полномочий по опеке и попечительству в отношении несовершеннолетних (</w:t>
      </w:r>
      <w:proofErr w:type="spellStart"/>
      <w:r>
        <w:t>Si</w:t>
      </w:r>
      <w:proofErr w:type="spellEnd"/>
      <w:r>
        <w:t>) рассчитывается по следующей формуле: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= </w:t>
      </w: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x </w:t>
      </w:r>
      <w:proofErr w:type="spellStart"/>
      <w:r>
        <w:t>Nз</w:t>
      </w:r>
      <w:proofErr w:type="spellEnd"/>
      <w:r>
        <w:t>,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r>
        <w:t xml:space="preserve">где </w:t>
      </w: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- численность специалистов, з</w:t>
      </w:r>
      <w:r>
        <w:t>анимающихся вопросами опеки и попечительства в отношении несовершеннолетних, в i-м муниципальном образовании, рассчитываемая в соответствии с математическими правилами округления до целого значения по следующей формуле: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1463040" cy="50292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r>
        <w:t xml:space="preserve">где </w:t>
      </w:r>
      <w:proofErr w:type="spellStart"/>
      <w:r>
        <w:t>n</w:t>
      </w:r>
      <w:r>
        <w:rPr>
          <w:vertAlign w:val="subscript"/>
        </w:rPr>
        <w:t>i</w:t>
      </w:r>
      <w:proofErr w:type="spellEnd"/>
      <w:r>
        <w:t xml:space="preserve"> - численность несовершенн</w:t>
      </w:r>
      <w:r>
        <w:t>олетнего населения до 17 лет включительно в i-м муниципальном образовании по данным территориального органа Федеральной службы государственной статистики по Мурманской области на начало предыдущего года;</w:t>
      </w:r>
    </w:p>
    <w:p w:rsidR="001E690C" w:rsidRDefault="008E36C2">
      <w:pPr>
        <w:pStyle w:val="ConsPlusNormal"/>
        <w:spacing w:before="240"/>
        <w:ind w:firstLine="540"/>
        <w:jc w:val="both"/>
      </w:pPr>
      <w:proofErr w:type="spellStart"/>
      <w:proofErr w:type="gramStart"/>
      <w:r>
        <w:t>N</w:t>
      </w:r>
      <w:proofErr w:type="gramEnd"/>
      <w:r>
        <w:t>нагрi</w:t>
      </w:r>
      <w:proofErr w:type="spellEnd"/>
      <w:r>
        <w:t xml:space="preserve"> - норма нагрузки на одного специалиста, заним</w:t>
      </w:r>
      <w:r>
        <w:t xml:space="preserve">ающегося вопросами опеки и попечительства в отношении несовершеннолетних, в i-м муниципальном образовании. Для муниципального образования, имеющего статус муниципального района, значение </w:t>
      </w:r>
      <w:proofErr w:type="spellStart"/>
      <w:proofErr w:type="gramStart"/>
      <w:r>
        <w:t>N</w:t>
      </w:r>
      <w:proofErr w:type="gramEnd"/>
      <w:r>
        <w:t>нагрi</w:t>
      </w:r>
      <w:proofErr w:type="spellEnd"/>
      <w:r>
        <w:t xml:space="preserve"> равно 1,3 тысячи несовершеннолетнего населения в возрасте до 1</w:t>
      </w:r>
      <w:r>
        <w:t xml:space="preserve">7 лет включительно. Для муниципального образования, имеющего статус городского округа, значение </w:t>
      </w:r>
      <w:proofErr w:type="spellStart"/>
      <w:proofErr w:type="gramStart"/>
      <w:r>
        <w:t>N</w:t>
      </w:r>
      <w:proofErr w:type="gramEnd"/>
      <w:r>
        <w:t>нагрi</w:t>
      </w:r>
      <w:proofErr w:type="spellEnd"/>
      <w:r>
        <w:t xml:space="preserve"> равно 1,8 тысячи несовершеннолетнего населения в возрасте до 17 лет включительно. Для муниципального образования, имеющего статус муниципального округа, </w:t>
      </w:r>
      <w:r>
        <w:t xml:space="preserve">в состав территории которого входят десять и более населенных пунктов, значение </w:t>
      </w:r>
      <w:proofErr w:type="spellStart"/>
      <w:proofErr w:type="gramStart"/>
      <w:r>
        <w:t>N</w:t>
      </w:r>
      <w:proofErr w:type="gramEnd"/>
      <w:r>
        <w:t>нагрi</w:t>
      </w:r>
      <w:proofErr w:type="spellEnd"/>
      <w:r>
        <w:t xml:space="preserve"> равно 1,3 тысячи несовершеннолетнего населения в возрасте до 17 лет включительно. Для муниципального образования, имеющего статус муниципального округа, в состав террито</w:t>
      </w:r>
      <w:r>
        <w:t xml:space="preserve">рии которого входят девять и менее населенных пунктов, значение </w:t>
      </w:r>
      <w:proofErr w:type="spellStart"/>
      <w:proofErr w:type="gramStart"/>
      <w:r>
        <w:t>N</w:t>
      </w:r>
      <w:proofErr w:type="gramEnd"/>
      <w:r>
        <w:t>нагрi</w:t>
      </w:r>
      <w:proofErr w:type="spellEnd"/>
      <w:r>
        <w:t xml:space="preserve"> равно 1,8 тысячи несовершеннолетнего населения в возрасте до 17 лет включительно.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>В муниципальном образовании, где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proofErr w:type="spellStart"/>
      <w:r>
        <w:t>n</w:t>
      </w:r>
      <w:r>
        <w:rPr>
          <w:vertAlign w:val="subscript"/>
        </w:rPr>
        <w:t>i</w:t>
      </w:r>
      <w:proofErr w:type="spellEnd"/>
      <w:r>
        <w:t xml:space="preserve"> &lt; </w:t>
      </w:r>
      <w:proofErr w:type="spellStart"/>
      <w:proofErr w:type="gramStart"/>
      <w:r>
        <w:t>N</w:t>
      </w:r>
      <w:proofErr w:type="gramEnd"/>
      <w:r>
        <w:t>нагрi</w:t>
      </w:r>
      <w:proofErr w:type="spellEnd"/>
      <w:r>
        <w:t>, соотношение </w:t>
      </w:r>
      <w:r>
        <w:rPr>
          <w:noProof/>
          <w:position w:val="-27"/>
        </w:rPr>
        <w:drawing>
          <wp:inline distT="0" distB="0" distL="0" distR="0">
            <wp:extent cx="902970" cy="50292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proofErr w:type="spellStart"/>
      <w:r>
        <w:t>Кдс</w:t>
      </w:r>
      <w:proofErr w:type="spellEnd"/>
      <w:r>
        <w:t xml:space="preserve"> - коэффициент, учитывающий долю детей</w:t>
      </w:r>
      <w:r>
        <w:t>-сирот и детей, оставшихся без попечения родителей, в общей численности несовершеннолетнего населения до 17 лет включительно на начало предыдущего года.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>Доля детей-сирот и детей, оставшихся без попечения родителей, в общей численности несовершеннолетнего н</w:t>
      </w:r>
      <w:r>
        <w:t xml:space="preserve">аселения до 17 лет включительно определяется в процентах путем деления </w:t>
      </w:r>
      <w:proofErr w:type="gramStart"/>
      <w:r>
        <w:t>численности детей-сирот и детей, оставшихся без попечения родителей, по данным органов местного самоуправления на начало предыдущего года на численность несовершеннолетнего населения до</w:t>
      </w:r>
      <w:r>
        <w:t xml:space="preserve"> 17 лет включительно по данным территориального органа Федеральной службы государственной статистики по Мурманской области на начало предыдущего года с округлением результата до одного знака после запятой в сторону увеличения.</w:t>
      </w:r>
      <w:proofErr w:type="gramEnd"/>
      <w:r>
        <w:t xml:space="preserve"> Для муниципального образовани</w:t>
      </w:r>
      <w:r>
        <w:t xml:space="preserve">я, в котором доля детей-сирот и детей, оставшихся без попечения родителей, составляет менее 1,5 процента, значение </w:t>
      </w:r>
      <w:proofErr w:type="spellStart"/>
      <w:r>
        <w:t>Кдс</w:t>
      </w:r>
      <w:proofErr w:type="spellEnd"/>
      <w:r>
        <w:t xml:space="preserve"> равно 1,0. Для муниципального образования, в котором доля детей-сирот и детей, оставшихся без попечения родителей, составляет от 1,5 проц</w:t>
      </w:r>
      <w:r>
        <w:t xml:space="preserve">ента до 2,0 процентов, значение </w:t>
      </w:r>
      <w:proofErr w:type="spellStart"/>
      <w:r>
        <w:t>Кдс</w:t>
      </w:r>
      <w:proofErr w:type="spellEnd"/>
      <w:r>
        <w:t xml:space="preserve"> равно 1,1. Для муниципального образования, в котором доля детей-сирот и детей, оставшихся без попечения родителей, составляет от 2,0 процентов до 2,5 </w:t>
      </w:r>
      <w:r>
        <w:lastRenderedPageBreak/>
        <w:t xml:space="preserve">процента, значение </w:t>
      </w:r>
      <w:proofErr w:type="spellStart"/>
      <w:r>
        <w:t>Кдс</w:t>
      </w:r>
      <w:proofErr w:type="spellEnd"/>
      <w:r>
        <w:t xml:space="preserve"> равно 1,2. Для муниципального образования, в ко</w:t>
      </w:r>
      <w:r>
        <w:t xml:space="preserve">тором доля детей-сирот и детей, оставшихся без попечения родителей, составляет от 2,5 процента до 3,0 процентов, значение </w:t>
      </w:r>
      <w:proofErr w:type="spellStart"/>
      <w:r>
        <w:t>Кдс</w:t>
      </w:r>
      <w:proofErr w:type="spellEnd"/>
      <w:r>
        <w:t xml:space="preserve"> равно 1,3. Для муниципального образования, в котором доля детей-сирот и детей, оставшихся без попечения родителей, составляет 3,0 </w:t>
      </w:r>
      <w:r>
        <w:t xml:space="preserve">процента и более, значение </w:t>
      </w:r>
      <w:proofErr w:type="spellStart"/>
      <w:r>
        <w:t>Кдс</w:t>
      </w:r>
      <w:proofErr w:type="spellEnd"/>
      <w:r>
        <w:t xml:space="preserve"> равно 1,4;</w:t>
      </w:r>
    </w:p>
    <w:p w:rsidR="001E690C" w:rsidRDefault="008E36C2">
      <w:pPr>
        <w:pStyle w:val="ConsPlusNormal"/>
        <w:spacing w:before="240"/>
        <w:ind w:firstLine="540"/>
        <w:jc w:val="both"/>
      </w:pPr>
      <w:proofErr w:type="spellStart"/>
      <w:proofErr w:type="gramStart"/>
      <w:r>
        <w:t>N</w:t>
      </w:r>
      <w:proofErr w:type="gramEnd"/>
      <w:r>
        <w:t>з</w:t>
      </w:r>
      <w:proofErr w:type="spellEnd"/>
      <w:r>
        <w:t xml:space="preserve"> - норматив затрат на одного специалиста, занимающегося вопросами опеки и попечительства в отношении несовершеннолетних, рассчитываемый с округлением до целых рублей в сторону увеличения по следующей формуле: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proofErr w:type="spellStart"/>
      <w:proofErr w:type="gramStart"/>
      <w:r>
        <w:t>N</w:t>
      </w:r>
      <w:proofErr w:type="gramEnd"/>
      <w:r>
        <w:t>з</w:t>
      </w:r>
      <w:proofErr w:type="spellEnd"/>
      <w:r>
        <w:t xml:space="preserve"> = (</w:t>
      </w:r>
      <w:proofErr w:type="spellStart"/>
      <w:r>
        <w:t>Фотр</w:t>
      </w:r>
      <w:proofErr w:type="spellEnd"/>
      <w:r>
        <w:t xml:space="preserve"> + (</w:t>
      </w:r>
      <w:proofErr w:type="spellStart"/>
      <w:r>
        <w:t>Фотр</w:t>
      </w:r>
      <w:proofErr w:type="spellEnd"/>
      <w:r>
        <w:t xml:space="preserve"> x Т)) x </w:t>
      </w:r>
      <w:proofErr w:type="spellStart"/>
      <w:r>
        <w:t>Ктр</w:t>
      </w:r>
      <w:proofErr w:type="spellEnd"/>
      <w:r>
        <w:t>,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r>
        <w:t xml:space="preserve">где </w:t>
      </w:r>
      <w:proofErr w:type="spellStart"/>
      <w:r>
        <w:t>Фотр</w:t>
      </w:r>
      <w:proofErr w:type="spellEnd"/>
      <w:r>
        <w:t xml:space="preserve"> - фонд оплаты труда специалиста, осуществляющего выполнение государственных полномочий, рассчитываемый по следующей формуле: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proofErr w:type="spellStart"/>
      <w:r>
        <w:t>Фотр</w:t>
      </w:r>
      <w:proofErr w:type="spellEnd"/>
      <w:r>
        <w:t xml:space="preserve"> = Док x </w:t>
      </w:r>
      <w:proofErr w:type="spellStart"/>
      <w:r>
        <w:t>Кдок</w:t>
      </w:r>
      <w:proofErr w:type="spellEnd"/>
      <w:r>
        <w:t xml:space="preserve"> x Кс,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  <w:ind w:firstLine="540"/>
        <w:jc w:val="both"/>
      </w:pPr>
      <w:r>
        <w:t>где Док - размер должностного оклада ведущего специалиста, установленный в соответствии с разделом "Должности государственной гражданской службы Мурманской области в исполнительных органах Мурманской области" приложения N 1 к Закону Мурманской области от 2</w:t>
      </w:r>
      <w:r>
        <w:t>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1E690C" w:rsidRDefault="008E36C2">
      <w:pPr>
        <w:pStyle w:val="ConsPlusNormal"/>
        <w:spacing w:before="240"/>
        <w:ind w:firstLine="540"/>
        <w:jc w:val="both"/>
      </w:pPr>
      <w:proofErr w:type="spellStart"/>
      <w:r>
        <w:t>Кдок</w:t>
      </w:r>
      <w:proofErr w:type="spellEnd"/>
      <w:r>
        <w:t xml:space="preserve"> - коэффициент кратности должностных окладов ведущего специалиста, равный 70,167, применяемый в целях формировани</w:t>
      </w:r>
      <w:r>
        <w:t>я фонда оплаты труда;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>Кс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</w:t>
      </w:r>
      <w:r>
        <w:t>, установленные в соответствии с законодательством Российской Федерации и законодательством Мурманской области;</w:t>
      </w:r>
    </w:p>
    <w:p w:rsidR="001E690C" w:rsidRDefault="008E36C2">
      <w:pPr>
        <w:pStyle w:val="ConsPlusNormal"/>
        <w:spacing w:before="240"/>
        <w:ind w:firstLine="540"/>
        <w:jc w:val="both"/>
      </w:pPr>
      <w:r>
        <w:t>Т - тариф для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1E690C" w:rsidRDefault="008E36C2">
      <w:pPr>
        <w:pStyle w:val="ConsPlusNormal"/>
        <w:spacing w:before="240"/>
        <w:ind w:firstLine="540"/>
        <w:jc w:val="both"/>
      </w:pPr>
      <w:proofErr w:type="spellStart"/>
      <w:proofErr w:type="gramStart"/>
      <w:r>
        <w:t>Ктр</w:t>
      </w:r>
      <w:proofErr w:type="spellEnd"/>
      <w:r>
        <w:t xml:space="preserve"> -</w:t>
      </w:r>
      <w:r>
        <w:t xml:space="preserve">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почт</w:t>
      </w:r>
      <w:r>
        <w:t>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</w:t>
      </w:r>
      <w:r>
        <w:t>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полномочий).</w:t>
      </w:r>
    </w:p>
    <w:p w:rsidR="001E690C" w:rsidRDefault="001E690C">
      <w:pPr>
        <w:pStyle w:val="ConsPlusNormal"/>
        <w:jc w:val="both"/>
      </w:pPr>
    </w:p>
    <w:p w:rsidR="001E690C" w:rsidRDefault="008E36C2">
      <w:pPr>
        <w:pStyle w:val="ConsPlusNormal"/>
      </w:pPr>
      <w:r>
        <w:rPr>
          <w:i/>
        </w:rPr>
        <w:br/>
      </w:r>
      <w:proofErr w:type="gramStart"/>
      <w:r>
        <w:rPr>
          <w:i/>
        </w:rPr>
        <w:t xml:space="preserve">Закон Мурманской области от 13.12.2007 N 927-01-ЗМО (ред. от 11.12.2024) "О наделении органов </w:t>
      </w:r>
      <w:r>
        <w:rPr>
          <w:i/>
        </w:rPr>
        <w:t>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в отношении несовершеннолетних" (принят Мурманской областной Д</w:t>
      </w:r>
      <w:r>
        <w:rPr>
          <w:i/>
        </w:rPr>
        <w:t>умой 06.12.2007) (вместе с "Методикой распределения объема субвенции местным бюджетам на осуществление органами местного самоуправления отдельных государственных полномочий по опеке и</w:t>
      </w:r>
      <w:proofErr w:type="gramEnd"/>
      <w:r>
        <w:rPr>
          <w:i/>
        </w:rPr>
        <w:t xml:space="preserve"> попечительству в отношении несовершеннолетних") </w:t>
      </w:r>
      <w:bookmarkStart w:id="1" w:name="_GoBack"/>
      <w:bookmarkEnd w:id="1"/>
    </w:p>
    <w:sectPr w:rsidR="001E690C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0C"/>
    <w:rsid w:val="001E690C"/>
    <w:rsid w:val="008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8E36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8E36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Мурманской области от 13.12.2007 N 927-01-ЗМО
(ред. от 11.12.2024)
"О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</vt:lpstr>
    </vt:vector>
  </TitlesOfParts>
  <Company>КонсультантПлюс Версия 4024.00.50</Company>
  <LinksUpToDate>false</LinksUpToDate>
  <CharactersWithSpaces>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13.12.2007 N 927-01-ЗМО
(ред. от 11.12.2024)
"О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в отношении несовершеннолетних"
(принят Мурманской областной Думой 06.12.2007)
(вместе с "Методикой распределения объема субвенции местным бюджетам на осуществление органами местного самоуправления отдельных государственных</dc:title>
  <dc:creator>Горецкая А.В.</dc:creator>
  <cp:lastModifiedBy>Горецкая А.В.</cp:lastModifiedBy>
  <cp:revision>2</cp:revision>
  <dcterms:created xsi:type="dcterms:W3CDTF">2025-10-28T06:50:00Z</dcterms:created>
  <dcterms:modified xsi:type="dcterms:W3CDTF">2025-10-28T06:50:00Z</dcterms:modified>
</cp:coreProperties>
</file>